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686" w:type="dxa"/>
        <w:jc w:val="left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493"/>
        <w:gridCol w:w="2683"/>
        <w:gridCol w:w="4510"/>
      </w:tblGrid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</w:pPr>
            <w:r>
              <w:rPr>
                <w:b/>
                <w:bCs/>
                <w:sz w:val="20"/>
                <w:szCs w:val="20"/>
                <w:lang w:val="sr-CS"/>
              </w:rPr>
              <w:t>Назив предмета: ФАРМАКОКИНЕТИКА И НЕЖЕЉЕНЕ ИНТЕРАКЦИЈЕ ЛЕКОВА (Медфарм_м02)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pBdr>
                <w:bottom w:val="single" w:sz="4" w:space="0" w:color="000000"/>
              </w:pBdr>
              <w:snapToGrid w:val="false"/>
            </w:pPr>
            <w:r>
              <w:rPr>
                <w:b/>
                <w:bCs/>
                <w:sz w:val="20"/>
                <w:szCs w:val="20"/>
                <w:lang w:val="sr-CS"/>
              </w:rPr>
              <w:t>Наставник или наставници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  <w:sz w:val="20"/>
                <w:szCs w:val="20"/>
                <w:lang w:val="sr-CS"/>
              </w:rPr>
              <w:t>: проф. др Зоран М. Тодоровић (руководилац)</w:t>
            </w:r>
            <w:r>
              <w:rPr>
                <w:sz w:val="20"/>
                <w:szCs w:val="20"/>
                <w:lang w:val="sr-CS"/>
              </w:rPr>
              <w:t xml:space="preserve">,  </w:t>
            </w:r>
            <w:r>
              <w:rPr>
                <w:sz w:val="20"/>
                <w:szCs w:val="20"/>
                <w:lang w:val="sr-CS"/>
              </w:rPr>
              <w:t xml:space="preserve">проф. </w:t>
            </w:r>
            <w:r>
              <w:rPr>
                <w:sz w:val="20"/>
                <w:szCs w:val="20"/>
                <w:lang w:val="sr-CS"/>
              </w:rPr>
              <w:t xml:space="preserve"> др Милица П. Бајчетић, </w:t>
            </w:r>
            <w:r>
              <w:rPr>
                <w:sz w:val="20"/>
                <w:szCs w:val="20"/>
                <w:lang w:val="sr-CS"/>
              </w:rPr>
              <w:t>проф</w:t>
            </w:r>
            <w:r>
              <w:rPr>
                <w:sz w:val="20"/>
                <w:szCs w:val="20"/>
                <w:lang w:val="sr-CS"/>
              </w:rPr>
              <w:t xml:space="preserve">. др Гордана Ј. Драговић Лукић, доц. др </w:t>
            </w:r>
            <w:r>
              <w:rPr>
                <w:sz w:val="20"/>
                <w:szCs w:val="20"/>
                <w:lang w:val="sr-CS"/>
              </w:rPr>
              <w:t>Невена Дивац, доц. др Драгана Протић</w:t>
            </w:r>
            <w:r>
              <w:rPr>
                <w:sz w:val="20"/>
                <w:szCs w:val="20"/>
                <w:lang w:val="sr-CS"/>
              </w:rPr>
              <w:t xml:space="preserve"> 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</w:pPr>
            <w:r>
              <w:rPr>
                <w:b/>
                <w:bCs/>
                <w:sz w:val="20"/>
                <w:szCs w:val="20"/>
                <w:lang w:val="sr-CS"/>
              </w:rPr>
              <w:t xml:space="preserve">Статус предмета: </w:t>
            </w:r>
            <w:r>
              <w:rPr>
                <w:sz w:val="20"/>
                <w:szCs w:val="20"/>
                <w:lang w:val="ru-RU"/>
              </w:rPr>
              <w:t>обавезни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</w:pPr>
            <w:r>
              <w:rPr>
                <w:b/>
                <w:bCs/>
                <w:sz w:val="20"/>
                <w:szCs w:val="20"/>
                <w:lang w:val="sr-CS"/>
              </w:rPr>
              <w:t>Број ЕСПБ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>5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</w:pPr>
            <w:r>
              <w:rPr>
                <w:b/>
                <w:bCs/>
                <w:sz w:val="20"/>
                <w:szCs w:val="20"/>
                <w:lang w:val="sr-CS"/>
              </w:rPr>
              <w:t>Услов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>
              <w:rPr>
                <w:sz w:val="20"/>
                <w:szCs w:val="20"/>
                <w:lang w:val="ru-RU"/>
              </w:rPr>
              <w:t>уписан други семестар докторских студија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autoSpaceDE w:val="false"/>
              <w:snapToGrid w:val="false"/>
              <w:rPr>
                <w:sz w:val="20"/>
                <w:b/>
                <w:sz w:val="20"/>
                <w:b/>
                <w:szCs w:val="20"/>
                <w:bCs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Циљ предмета</w:t>
            </w:r>
            <w:r/>
          </w:p>
          <w:p>
            <w:pPr>
              <w:pStyle w:val="Normal"/>
              <w:autoSpaceDE w:val="false"/>
              <w:rPr>
                <w:sz w:val="20"/>
                <w:sz w:val="20"/>
                <w:szCs w:val="20"/>
                <w:bCs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bCs/>
                <w:sz w:val="20"/>
                <w:szCs w:val="20"/>
                <w:lang w:val="sr-CS"/>
              </w:rPr>
              <w:t>Разумевање фармакокинетичких процеса (ресорпција, расподела, метаболизам, излучивање) и параметара фармакокинетичке анализе у циљу рационалне (ефикасне, безбедне, економски оправдане) примене лекова засноване на доказима. Разумевање принципа и анализе података у популационој фармакокинетици. Разумевање интеракција лекова, начина њиховог праћења и процене значаја у евалуацији безбедности лекова. Разумевање токсикокинетике.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0"/>
                <w:b/>
                <w:sz w:val="20"/>
                <w:b/>
                <w:szCs w:val="20"/>
                <w:bCs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 xml:space="preserve">Исход предмета 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Познавање фармакокинетичких процеса и фактора који на исте утичу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Познавање метаболичких промена лекова и њиховог значаја за фармакотерапију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Примена различитих приступа фармакокинетичкој анализи података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Процена студија биолошке расположивости и биолошке еквивалентности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Тумачење резултата терапијског праћења (мониторинг) лекова и познавање принципа индивидуализације терапије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Познавање интеракција лекова, метода њиховог праћења и процене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Познавање токсикокинетике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autoSpaceDE w:val="false"/>
              <w:snapToGrid w:val="false"/>
              <w:rPr>
                <w:sz w:val="20"/>
                <w:b/>
                <w:sz w:val="20"/>
                <w:b/>
                <w:szCs w:val="20"/>
                <w:bCs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Садржај предмета</w:t>
            </w:r>
            <w:r/>
          </w:p>
          <w:p>
            <w:pPr>
              <w:pStyle w:val="Normal"/>
            </w:pPr>
            <w:r>
              <w:rPr>
                <w:sz w:val="20"/>
                <w:szCs w:val="20"/>
                <w:lang w:val="sr-CS"/>
              </w:rPr>
              <w:t xml:space="preserve">Значај фармакокинетике у процени ефикасности и безбедности лекова. Нежељене интеракције лекова; метаболизам лекова (изоензими цитохрома Пе-450, фактори који утичу на биотрансформацију лекова).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0"/>
                <w:szCs w:val="20"/>
                <w:lang w:val="sr-CS"/>
              </w:rPr>
              <w:t xml:space="preserve">Физиолошка основа АДМЕ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sr-CS"/>
              </w:rPr>
              <w:t>процеса. Примарни ФК параметри. Фактори варијабилности АДМЕ процеса.</w:t>
            </w:r>
            <w:r>
              <w:rPr>
                <w:sz w:val="20"/>
                <w:szCs w:val="20"/>
                <w:lang w:val="sr-CS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0"/>
                <w:szCs w:val="20"/>
                <w:lang w:val="sr-CS"/>
              </w:rPr>
              <w:t xml:space="preserve">Методолошки аспекти анализе ФК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sr-CS"/>
              </w:rPr>
              <w:t>података: Просторма и непросторна ФК анализа података после појединачне дозе.</w:t>
            </w:r>
            <w:r>
              <w:rPr>
                <w:sz w:val="20"/>
                <w:szCs w:val="20"/>
                <w:lang w:val="sr-CS"/>
              </w:rPr>
              <w:t xml:space="preserve"> Фармакокинетика поновљеног дозирања. Интравенска инфузија. Стање равнотеже.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0"/>
                <w:szCs w:val="20"/>
                <w:lang w:val="sr-CS"/>
              </w:rPr>
              <w:t xml:space="preserve">Методолошки аспекти анализе ФК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sr-CS"/>
              </w:rPr>
              <w:t>података: Популациони ФК модели. Фармакокинетичко-фармакодинамичко модели. Физиолошки засновани ФК модели. Студије симулације ФК профила лека.</w:t>
            </w:r>
            <w:r>
              <w:rPr>
                <w:sz w:val="20"/>
                <w:szCs w:val="20"/>
                <w:lang w:val="sr-CS"/>
              </w:rPr>
              <w:t xml:space="preserve"> Биолошка расположивост и биоеквивалентност лекова. Одређивање режима дозирања лекова, праћење лекова у терапији и прилагођавање дозе; индивидуализација терапије. Фармакокинетика лекова код посебних група (деца, старији, труднице и дојиље,  болесници са инсуфицијенцијом јетре, срца или бубрега, гојазни и др.). Популациона и транслациона фармакокинетика лекова код новорођенчади и деце. Улога фармакокинетике у мониторингу антиретровирусне терапије. Токсикокинетика.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0"/>
                <w:b/>
                <w:sz w:val="20"/>
                <w:b/>
                <w:szCs w:val="20"/>
                <w:bCs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 xml:space="preserve">Препоручена литература </w:t>
            </w:r>
            <w:r/>
          </w:p>
          <w:p>
            <w:pPr>
              <w:pStyle w:val="Normal"/>
            </w:pPr>
            <w:r>
              <w:rPr>
                <w:bCs/>
                <w:sz w:val="20"/>
                <w:szCs w:val="20"/>
                <w:lang w:val="sr-CS"/>
              </w:rPr>
              <w:t xml:space="preserve">1) </w:t>
            </w:r>
            <w:r>
              <w:rPr>
                <w:bCs/>
                <w:sz w:val="20"/>
                <w:szCs w:val="20"/>
                <w:lang w:val="sr-Latn-CS"/>
              </w:rPr>
              <w:t>Pokrajac M</w:t>
            </w:r>
            <w:r>
              <w:rPr>
                <w:bCs/>
                <w:sz w:val="20"/>
                <w:szCs w:val="20"/>
                <w:lang w:val="sr-CS"/>
              </w:rPr>
              <w:t>. F</w:t>
            </w:r>
            <w:r>
              <w:rPr>
                <w:bCs/>
                <w:sz w:val="20"/>
                <w:szCs w:val="20"/>
                <w:lang w:val="sr-Latn-CS"/>
              </w:rPr>
              <w:t>armakokinetika.</w:t>
            </w:r>
            <w:r>
              <w:rPr>
                <w:bCs/>
                <w:sz w:val="20"/>
                <w:szCs w:val="20"/>
                <w:lang w:val="sr-CS"/>
              </w:rPr>
              <w:t xml:space="preserve"> B</w:t>
            </w:r>
            <w:r>
              <w:rPr>
                <w:bCs/>
                <w:sz w:val="20"/>
                <w:szCs w:val="20"/>
                <w:lang w:val="sr-Latn-CS"/>
              </w:rPr>
              <w:t>eograd: Birograf</w:t>
            </w:r>
            <w:r>
              <w:rPr>
                <w:bCs/>
                <w:sz w:val="20"/>
                <w:szCs w:val="20"/>
                <w:lang w:val="sr-CS"/>
              </w:rPr>
              <w:t xml:space="preserve">, 2007. 2) </w:t>
            </w:r>
            <w:r>
              <w:rPr>
                <w:bCs/>
                <w:sz w:val="20"/>
                <w:szCs w:val="20"/>
                <w:lang w:val="sr-Latn-CS"/>
              </w:rPr>
              <w:t>Schargel L, Yu-Pong S. Applied Biopharmaceutics and Pharmacokinetics</w:t>
            </w:r>
            <w:r>
              <w:rPr>
                <w:bCs/>
                <w:sz w:val="20"/>
                <w:szCs w:val="20"/>
                <w:lang w:val="sr-CS"/>
              </w:rPr>
              <w:t xml:space="preserve"> (</w:t>
            </w:r>
            <w:r>
              <w:rPr>
                <w:bCs/>
                <w:sz w:val="20"/>
                <w:szCs w:val="20"/>
                <w:lang w:val="sr-Latn-CS"/>
              </w:rPr>
              <w:t>5th ed</w:t>
            </w:r>
            <w:r>
              <w:rPr>
                <w:bCs/>
                <w:sz w:val="20"/>
                <w:szCs w:val="20"/>
                <w:lang w:val="sr-CS"/>
              </w:rPr>
              <w:t>).</w:t>
            </w:r>
            <w:r>
              <w:rPr>
                <w:bCs/>
                <w:sz w:val="20"/>
                <w:szCs w:val="20"/>
                <w:lang w:val="sr-Latn-CS"/>
              </w:rPr>
              <w:t xml:space="preserve"> New York: The McGraw-Hill Companies Inc.McGraw Hill, 2005.</w:t>
            </w:r>
            <w:r>
              <w:rPr>
                <w:bCs/>
                <w:sz w:val="20"/>
                <w:szCs w:val="20"/>
                <w:lang w:val="sr-CS"/>
              </w:rPr>
              <w:t xml:space="preserve"> 3) </w:t>
            </w:r>
            <w:r>
              <w:rPr>
                <w:bCs/>
                <w:sz w:val="20"/>
                <w:szCs w:val="20"/>
                <w:lang w:val="sr-Latn-CS"/>
              </w:rPr>
              <w:t xml:space="preserve">Rowland M, Tozer TN. Clinical Pharmacokinetics and Pharmacodynamics. Concept and </w:t>
            </w:r>
            <w:r>
              <w:rPr>
                <w:bCs/>
                <w:sz w:val="20"/>
                <w:szCs w:val="20"/>
                <w:lang w:val="sr-CS"/>
              </w:rPr>
              <w:t>Applications (4</w:t>
            </w:r>
            <w:r>
              <w:rPr>
                <w:bCs/>
                <w:sz w:val="20"/>
                <w:szCs w:val="20"/>
                <w:lang w:val="sr-Latn-CS"/>
              </w:rPr>
              <w:t>th ed)</w:t>
            </w:r>
            <w:r>
              <w:rPr>
                <w:bCs/>
                <w:sz w:val="20"/>
                <w:szCs w:val="20"/>
                <w:lang w:val="sr-CS"/>
              </w:rPr>
              <w:t>.</w:t>
            </w:r>
            <w:r>
              <w:rPr>
                <w:bCs/>
                <w:sz w:val="20"/>
                <w:szCs w:val="20"/>
                <w:lang w:val="sr-Latn-CS"/>
              </w:rPr>
              <w:t xml:space="preserve"> Walters Kluwer, Lippincott Williams &amp;Wilkins, 2011. 3) Bauer L. Applied Clinical Pharmacokinetics. New York: The McGraw-Hill Companies Inc., 2001. 4) Katzung BG (ed). Basic and Clinical Pharmacology (1</w:t>
            </w:r>
            <w:r>
              <w:rPr>
                <w:bCs/>
                <w:sz w:val="20"/>
                <w:szCs w:val="20"/>
                <w:lang w:val="sr-Latn-CS"/>
              </w:rPr>
              <w:t>3</w:t>
            </w:r>
            <w:r>
              <w:rPr>
                <w:bCs/>
                <w:sz w:val="20"/>
                <w:szCs w:val="20"/>
                <w:lang w:val="sr-Latn-CS"/>
              </w:rPr>
              <w:t>th ed). Boston: The McGraw-Hill Companies Inc., 20</w:t>
            </w:r>
            <w:r>
              <w:rPr>
                <w:bCs/>
                <w:sz w:val="20"/>
                <w:szCs w:val="20"/>
                <w:lang w:val="sr-Latn-CS"/>
              </w:rPr>
              <w:t>15</w:t>
            </w:r>
            <w:r>
              <w:rPr>
                <w:bCs/>
                <w:sz w:val="20"/>
                <w:szCs w:val="20"/>
                <w:lang w:val="sr-Latn-CS"/>
              </w:rPr>
              <w:t xml:space="preserve">. 5) </w:t>
            </w:r>
            <w:r>
              <w:rPr>
                <w:bCs/>
                <w:sz w:val="20"/>
                <w:szCs w:val="20"/>
              </w:rPr>
              <w:t>Talbot J, Waller P (eds). Stephen’s Detection of New Adverse Drug Reactions (5th ed). The Atrium, Sourthern Gate, Chichester, West Sussex: John Wiley &amp; Sons, Ltd., 2004.</w:t>
            </w:r>
            <w:r>
              <w:rPr>
                <w:bCs/>
                <w:sz w:val="20"/>
                <w:szCs w:val="20"/>
                <w:lang w:val="sr-Latn-CS"/>
              </w:rPr>
              <w:t xml:space="preserve"> 6) Aronson JK (ed). Meyler's Side Effects of Drugs: The International Encyclopedia of Adverse Drug Reactions and Interactions (15th ed). Amsterdam: Elsevier, 2006.</w:t>
            </w:r>
            <w:r/>
          </w:p>
        </w:tc>
      </w:tr>
      <w:tr>
        <w:trPr/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</w:pPr>
            <w:r>
              <w:rPr>
                <w:bCs/>
                <w:sz w:val="20"/>
                <w:szCs w:val="20"/>
                <w:lang w:val="sr-CS"/>
              </w:rPr>
              <w:t xml:space="preserve">Број часова </w:t>
            </w:r>
            <w:r>
              <w:rPr>
                <w:sz w:val="20"/>
                <w:szCs w:val="20"/>
                <w:lang w:val="sr-CS"/>
              </w:rPr>
              <w:t xml:space="preserve"> активне наставе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 xml:space="preserve"> 2</w:t>
            </w:r>
            <w:r/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</w:pPr>
            <w:r>
              <w:rPr>
                <w:sz w:val="20"/>
                <w:szCs w:val="20"/>
              </w:rPr>
              <w:t>предавања</w:t>
            </w:r>
            <w:r>
              <w:rPr>
                <w:sz w:val="20"/>
                <w:szCs w:val="20"/>
                <w:lang w:val="sr-CS"/>
              </w:rPr>
              <w:t>:</w:t>
            </w:r>
            <w:r/>
          </w:p>
          <w:p>
            <w:pPr>
              <w:pStyle w:val="Normal"/>
              <w:snapToGrid w:val="false"/>
              <w:rPr>
                <w:sz w:val="20"/>
                <w:sz w:val="20"/>
                <w:szCs w:val="20"/>
                <w:bCs/>
                <w:rFonts w:ascii="Times New Roman" w:hAnsi="Times New Roman" w:eastAsia="Times New Roman" w:cs="Times New Roman"/>
                <w:color w:val="auto"/>
                <w:lang w:val="sr-Latn-CS" w:bidi="ar-SA"/>
              </w:rPr>
            </w:pPr>
            <w:r>
              <w:rPr>
                <w:bCs/>
                <w:sz w:val="20"/>
                <w:szCs w:val="20"/>
                <w:lang w:val="sr-Latn-CS"/>
              </w:rPr>
              <w:t>2</w:t>
            </w:r>
            <w:r/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</w:pPr>
            <w:r>
              <w:rPr>
                <w:sz w:val="20"/>
                <w:szCs w:val="20"/>
              </w:rPr>
              <w:t>Студијски истраживачки рад</w:t>
            </w:r>
            <w:r>
              <w:rPr>
                <w:sz w:val="20"/>
                <w:szCs w:val="20"/>
                <w:lang w:val="ru-RU"/>
              </w:rPr>
              <w:t xml:space="preserve">: 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bCs/>
                <w:rFonts w:ascii="Times New Roman" w:hAnsi="Times New Roman" w:eastAsia="Times New Roman" w:cs="Times New Roman"/>
                <w:color w:val="auto"/>
                <w:lang w:val="sr-Latn-CS" w:bidi="ar-SA"/>
              </w:rPr>
            </w:pPr>
            <w:r>
              <w:rPr>
                <w:bCs/>
                <w:sz w:val="20"/>
                <w:szCs w:val="20"/>
                <w:lang w:val="sr-Latn-CS"/>
              </w:rPr>
              <w:t>3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0"/>
                <w:b/>
                <w:sz w:val="20"/>
                <w:b/>
                <w:szCs w:val="20"/>
                <w:bCs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Методе извођења наставе</w:t>
            </w:r>
            <w:r/>
          </w:p>
          <w:p>
            <w:pPr>
              <w:pStyle w:val="Normal"/>
              <w:rPr>
                <w:sz w:val="20"/>
                <w:sz w:val="20"/>
                <w:szCs w:val="20"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sz w:val="20"/>
                <w:szCs w:val="20"/>
                <w:lang w:val="sr-CS"/>
              </w:rPr>
              <w:t>контакт часови, семинари, практичан рад у лабораторији</w:t>
            </w:r>
            <w:r/>
          </w:p>
        </w:tc>
      </w:tr>
      <w:tr>
        <w:trPr/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autoSpaceDE w:val="false"/>
              <w:snapToGrid w:val="false"/>
              <w:jc w:val="center"/>
            </w:pPr>
            <w:r>
              <w:rPr>
                <w:b/>
                <w:bCs/>
                <w:sz w:val="20"/>
                <w:szCs w:val="20"/>
                <w:lang w:val="sr-CS"/>
              </w:rPr>
              <w:t>Оцена  знања (максимални број поена 100)</w:t>
            </w:r>
            <w:r>
              <w:rPr>
                <w:bCs/>
                <w:sz w:val="20"/>
                <w:szCs w:val="20"/>
                <w:lang w:val="sr-CS"/>
              </w:rPr>
              <w:t>.</w:t>
            </w:r>
            <w:r/>
          </w:p>
          <w:p>
            <w:pPr>
              <w:pStyle w:val="Normal"/>
              <w:autoSpaceDE w:val="false"/>
              <w:snapToGrid w:val="false"/>
              <w:jc w:val="center"/>
              <w:rPr>
                <w:sz w:val="20"/>
                <w:sz w:val="20"/>
                <w:szCs w:val="20"/>
                <w:bCs/>
                <w:rFonts w:ascii="Times New Roman" w:hAnsi="Times New Roman" w:eastAsia="Times New Roman" w:cs="Times New Roman"/>
                <w:color w:val="auto"/>
                <w:lang w:val="sr-CS" w:bidi="ar-SA"/>
              </w:rPr>
            </w:pPr>
            <w:r>
              <w:rPr>
                <w:bCs/>
                <w:sz w:val="20"/>
                <w:szCs w:val="20"/>
                <w:lang w:val="sr-CS"/>
              </w:rPr>
              <w:t>Формира се на основу збирa активног учешћа у припреми и извођењу семинара (30%), редовног и активног похађања наставе и рада у лабораторији (15%) и завршног писменог теста (55%).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Times New Roman" w:cs="Times New Roman"/>
          <w:color w:val="auto"/>
          <w:lang w:val="ru-RU" w:bidi="ar-SA"/>
        </w:rPr>
      </w:pPr>
      <w:r>
        <w:rPr>
          <w:lang w:val="ru-RU"/>
        </w:rPr>
      </w:r>
      <w:r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Cs w:val="24"/>
        <w:lang w:val="sr-RS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Heading"/>
    <w:next w:val="TextBody"/>
    <w:pPr>
      <w:numPr>
        <w:ilvl w:val="0"/>
        <w:numId w:val="2"/>
      </w:numPr>
      <w:outlineLvl w:val="0"/>
      <w:outlineLvl w:val="0"/>
    </w:pPr>
    <w:rPr>
      <w:rFonts w:ascii="Times New Roman" w:hAnsi="Times New Roman" w:eastAsia="DejaVu Sans" w:cs="Lohit Hindi;MS Mincho"/>
      <w:b/>
      <w:bCs/>
      <w:sz w:val="48"/>
      <w:szCs w:val="48"/>
    </w:rPr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DefaultParagraphFont">
    <w:name w:val="Default Paragraph Font"/>
    <w:rPr/>
  </w:style>
  <w:style w:type="character" w:styleId="AbsatzStandardschriftart">
    <w:name w:val="Absatz-Standardschriftart"/>
    <w:rPr/>
  </w:style>
  <w:style w:type="character" w:styleId="WWAbsatzStandardschriftart">
    <w:name w:val="WW-Absatz-Standardschriftart"/>
    <w:rPr/>
  </w:style>
  <w:style w:type="character" w:styleId="WWAbsatzStandardschriftart1">
    <w:name w:val="WW-Absatz-Standardschriftart1"/>
    <w:rPr/>
  </w:style>
  <w:style w:type="character" w:styleId="WWAbsatzStandardschriftart11">
    <w:name w:val="WW-Absatz-Standardschriftart11"/>
    <w:rPr/>
  </w:style>
  <w:style w:type="character" w:styleId="WWAbsatzStandardschriftart111">
    <w:name w:val="WW-Absatz-Standardschriftart111"/>
    <w:rPr/>
  </w:style>
  <w:style w:type="character" w:styleId="WWAbsatzStandardschriftart1111">
    <w:name w:val="WW-Absatz-Standardschriftart1111"/>
    <w:rPr/>
  </w:style>
  <w:style w:type="character" w:styleId="WWDefaultParagraphFont">
    <w:name w:val="WW-Default Paragraph Font"/>
    <w:rPr>
      <w:sz w:val="22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Arial" w:hAnsi="Arial" w:eastAsia="DejaVu Sans" w:cs="Lohit Hindi;MS Mincho"/>
      <w:sz w:val="28"/>
      <w:szCs w:val="28"/>
    </w:rPr>
  </w:style>
  <w:style w:type="paragraph" w:styleId="TextBody">
    <w:name w:val="Text Body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Lohit Hindi;MS Mincho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Hindi;MS Mincho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Lohit Hindi;MS Mincho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Application>LibreOffice/4.3.3.2$Linux_X86_64 LibreOffice_project/430m0$Build-2</Application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2010-11-07T20:36:00Z</dcterms:created>
  <dc:creator>.</dc:creator>
  <dc:language>sr-RS</dc:language>
  <cp:lastPrinted>2010-11-23T11:38:00Z</cp:lastPrinted>
  <dcterms:modified xsi:type="dcterms:W3CDTF">2015-03-13T13:23:55Z</dcterms:modified>
  <cp:revision>6</cp:revision>
  <dc:title>Назив предмета: ФАРМАКОКИНЕТИКА</dc:title>
</cp:coreProperties>
</file>